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BbgStBVG (Brandenburg) — Pflichtmitgliedschaft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Pflichtmitglieder des Steuerberaterversorgungswerkes sind Steuerberater,</w:t>
      </w:r>
    </w:p>
    <w:p>
      <w:r>
        <w:t xml:space="preserve">die bei In-Kraft-Treten dieses Gesetzes bereits Mitglied der Steuerberaterkammer Brandenburg sind und zu diesem Zeitpunkt das 45. Lebensjahr noch nicht vollendet haben,</w:t>
      </w:r>
    </w:p>
    <w:p>
      <w:r>
        <w:t xml:space="preserve">die nach dem In-Kraft-Treten dieses Gesetzes Mitglied der Steuerberaterkammer Brandenburg werden und zu diesem Zeitpunkt das 45. Lebensjahr noch nicht vollendet haben.</w:t>
      </w:r>
    </w:p>
    <w:p>
      <w:r>
        <w:t xml:space="preserve">(2) Pflichtmitglied des Steuerberaterversorgungswerkes werden darüber hinaus alle Personen, die nach dem 31. Dezember 2006 Mitglied der Steuerberaterkammer Brandenburg werden und zu diesem Zeitpunkt</w:t>
      </w:r>
    </w:p>
    <w:p>
      <w:r>
        <w:t xml:space="preserve">das 60. Lebensjahr noch nicht vollendet haben und</w:t>
      </w:r>
    </w:p>
    <w:p>
      <w:r>
        <w:t xml:space="preserve">nicht berufsunfähig sind.</w:t>
      </w:r>
    </w:p>
    <w:p>
      <w:r>
        <w:t xml:space="preserve">(3) Mitglieder der Steuerberaterkammer Brandenburg, bei denen die Voraussetzungen nach Absatz 1 oder 2 vorliegen und die bereits Mitglied des Versorgungswerkes der Wirtschaftsprüfer und der vereidigten Buchprüfer im Land Nordrhein-Westfalen sind, werden nicht Pflichtmitglied im Steuerberaterversorgungswerk.</w:t>
      </w:r>
    </w:p>
    <w:p>
      <w:r>
        <w:t xml:space="preserve">(4) Die Satzung kann weitere Ausnahmen und Befreiungen von der Pflichtmitgliedschaft vorsehen</w:t>
      </w:r>
    </w:p>
    <w:p>
      <w:r>
        <w:t xml:space="preserve">bei Bestehen einer anderen gleichwertigen auf Gesetz beruhenden Versorgung,</w:t>
      </w:r>
    </w:p>
    <w:p>
      <w:r>
        <w:t xml:space="preserve">im Falle einer anderweitigen Befreiung von der gesetzlichen Versicherungs- oder Versorgungspflicht.</w:t>
      </w:r>
    </w:p>
    <w:p>
      <w:r>
        <w:rPr>
          <w:color w:val="555555"/>
          <w:sz w:val="17"/>
        </w:rPr>
        <w:t xml:space="preserve">Zitiervorschlag: § 4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