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BbgStBVG (Brandenburg) — Grundsätze der Mitgliedschaft</w:t>
      </w:r>
    </w:p>
    <w:p>
      <w:r>
        <w:rPr>
          <w:color w:val="555555"/>
          <w:sz w:val="18"/>
        </w:rPr>
        <w:t xml:space="preserve">Brandenburgisches Steuerberaterversorgungsgesetz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Mitglied des Steuerberaterversorgungswerks ist jede natürliche Person, die als Steuerberater oder Steuerbevollmächtigter Mitglied der Steuerberaterkammer Brandenburg ist. Für alle Personen findet in diesem Gesetz die Bezeichnung “Steuerberater” Verwendung.</w:t>
      </w:r>
    </w:p>
    <w:p>
      <w:r>
        <w:t xml:space="preserve">(2) Die Mitgliedschaft im Steuerberaterversorgungswerk wird nach Maßgabe dieses Gesetzes entweder als Pflichtmitgliedschaft oder als Mitgliedschaft auf Antrag begründet.</w:t>
      </w:r>
    </w:p>
    <w:p>
      <w:r>
        <w:t xml:space="preserve">(3) Von der Mitgliedschaft ausgenommen ist, wer</w:t>
      </w:r>
    </w:p>
    <w:p>
      <w:r>
        <w:t xml:space="preserve">die Voraussetzungen nach Absatz 1 erst nach Vollendung des 60. Lebensjahres erfüllt oder</w:t>
      </w:r>
    </w:p>
    <w:p>
      <w:r>
        <w:t xml:space="preserve">vor oder am 31. Dezember 2006</w:t>
      </w:r>
    </w:p>
    <w:p>
      <w:r>
        <w:t xml:space="preserve">bereits Mitglied einer Steuerberaterkammer im Bundesgebiet war, ohne Mitglied eines Versorgungswerkes im Bundesgebiet gewesen zu sein, oder</w:t>
      </w:r>
    </w:p>
    <w:p>
      <w:r>
        <w:t xml:space="preserve">bei Eintritt in die Steuerberaterkammer Brandenburg das 45. Lebensjahr bereits vollendet hatte.</w:t>
      </w:r>
    </w:p>
    <w:p>
      <w:r>
        <w:rPr>
          <w:color w:val="555555"/>
          <w:sz w:val="17"/>
        </w:rPr>
        <w:t xml:space="preserve">Zitiervorschlag: § 3 BbgStBVG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https://recht.nulegal.eu/gesetze/BbgStBVG/3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