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BbgStBVG (Brandenburg) — Einschränkung von Grundrechten</w:t>
      </w:r>
    </w:p>
    <w:p>
      <w:r>
        <w:rPr>
          <w:color w:val="555555"/>
          <w:sz w:val="18"/>
        </w:rPr>
        <w:t xml:space="preserve">Brandenburgisches Steuerberaterversorgungsgesetz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Durch die §§ 20a bis 20c werden das Grundrecht auf informationelle Selbstbestimmung nach Artikel 2 Absatz 1 in Verbindung mit Artikel 1 Absatz 1 des Grundgesetzes und das Grundrecht auf Datenschutz nach Artikel 11 Absatz 1 der Verfassung des Landes Brandenburg eingeschränkt.</w:t>
      </w:r>
    </w:p>
    <w:p>
      <w:r>
        <w:rPr>
          <w:color w:val="555555"/>
          <w:sz w:val="17"/>
        </w:rPr>
        <w:t xml:space="preserve">Zitiervorschlag: § 24 BbgStBVG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https://recht.nulegal.eu/gesetze/BbgStBVG/24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