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BbgStBVG (Brandenburg) — Satzung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Soweit die Angelegenheiten des Steuerberaterversorgungswerkes nicht gesetzlich bestimmt sind, werden sie durch die Satzung geregelt. Das gilt insbesondere für:</w:t>
      </w:r>
    </w:p>
    <w:p>
      <w:r>
        <w:t xml:space="preserve">die Verwendung der Mittel, Vermögensanlage und Rechnungslegung,</w:t>
      </w:r>
    </w:p>
    <w:p>
      <w:r>
        <w:t xml:space="preserve">die Feststellung und Zahlungsweise der Beiträge und Leistungen,</w:t>
      </w:r>
    </w:p>
    <w:p>
      <w:r>
        <w:t xml:space="preserve">die Nachversicherung nach § 186 des Sechsten Buches Sozialgesetzbuch,</w:t>
      </w:r>
    </w:p>
    <w:p>
      <w:r>
        <w:t xml:space="preserve">die Mitwirkungspflichten und Obliegenheiten der Mitglieder und Leistungsberechtigten.</w:t>
      </w:r>
    </w:p>
    <w:p>
      <w:r>
        <w:t xml:space="preserve">(2) Die Satzung und ihre Änderungen bedürfen der Genehmigung durch das Ministerium der Finanzen.</w:t>
      </w:r>
    </w:p>
    <w:p>
      <w:r>
        <w:t xml:space="preserve">(3) Die Satzung und ihre Änderungen sind mit dem Genehmigungsvermerk auf der Internetseite der Steuerberaterkammer Brandenburg ( www.stbk-brandenburg.de ) unter der Rubrik - Amtliche Bekanntmachungen - bekannt zu machen. Sie treten am Tag nach der Veröffentlichung in Kraft, soweit nicht ein anderer Zeitpunkt bestimmt wird.</w:t>
      </w:r>
    </w:p>
    <w:p>
      <w:r>
        <w:rPr>
          <w:color w:val="555555"/>
          <w:sz w:val="17"/>
        </w:rPr>
        <w:t xml:space="preserve">Zitiervorschlag: § 21 BbgStBVG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