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20c BbgStBVG (Brandenburg) — Auskunftserteilung an öffentliche Stellen</w:t>
      </w:r>
    </w:p>
    <w:p>
      <w:r>
        <w:rPr>
          <w:color w:val="555555"/>
          <w:sz w:val="18"/>
        </w:rPr>
        <w:t xml:space="preserve">Brandenburgisches Steuerberaterversorgungsgesetz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Verlangt eine öffentliche Stelle aufgrund gesetzlicher Befugnis von dem Steuerberaterversorgungswerk Auskunft über</w:t>
      </w:r>
    </w:p>
    <w:p>
      <w:r>
        <w:t xml:space="preserve">die derzeitige Anschrift,</w:t>
      </w:r>
    </w:p>
    <w:p>
      <w:r>
        <w:t xml:space="preserve">den derzeitigen oder zukünftigen Aufenthaltsort oder</w:t>
      </w:r>
    </w:p>
    <w:p>
      <w:r>
        <w:t xml:space="preserve">den Namen und die Vornamen oder die Firma sowie die Anschrift des derzeitigen Arbeitgebers</w:t>
      </w:r>
    </w:p>
    <w:p>
      <w:r>
        <w:t xml:space="preserve">eines Mitglieds, so übermittelt das Steuerberaterversorgungswerk diese Daten an die öffentliche Stelle. Das Steuerberaterversorgungswerk verweigert die Auskunft, wenn es Grund zu der Annahme hat, dass durch die Übermittlung schutzwürdige Interessen der betroffenen Person unangemessen beeinträchtigt werden.</w:t>
      </w:r>
    </w:p>
    <w:p>
      <w:r>
        <w:rPr>
          <w:color w:val="555555"/>
          <w:sz w:val="17"/>
        </w:rPr>
        <w:t xml:space="preserve">Zitiervorschlag: § 20c BbgStBVG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https://recht.nulegal.eu/gesetze/BbgStBVG/20c</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