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BbgStBVG (Brandenburg) — Datenverarbeitung personenbezogener Daten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 seiner Mitglieder und der sonstigen Leistungsberechtigten darf das Steuerberaterversorgungswerk ausschließlich zur Versorgung seiner Mitglieder und der sonstigen Leistungsberechtigten gemäß § 2 verarbeiten.</w:t>
      </w:r>
    </w:p>
    <w:p>
      <w:r>
        <w:t xml:space="preserve">(2) Die Übermittlung personenbezogener Daten ihrer Mitglieder durch die Steuerberaterkammer Brandenburg an das Steuerberaterversorgungswerk ist zulässig, soweit dies zur Versorgung der Mitglieder und der sonstigen Leistungsberechtigten des Steuerberaterversorgungswerkes gemäß § 2 erforderlich ist.</w:t>
      </w:r>
    </w:p>
    <w:p>
      <w:r>
        <w:rPr>
          <w:color w:val="555555"/>
          <w:sz w:val="17"/>
        </w:rPr>
        <w:t xml:space="preserve">Zitiervorschlag: § 20a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https://recht.nulegal.eu/gesetze/BbgStBVG/20a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