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BbgStBVG (Brandenburg) — Aufgabe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Steuerberaterversorgungswerk leistet seinen Mitgliedern und den sonstigen Leistungsberechtigten Versorgung nach Maßgabe dieses Gesetzes und der Satzung.</w:t>
      </w:r>
    </w:p>
    <w:p>
      <w:r>
        <w:t xml:space="preserve">(2) Auf die Leistungen des Steuerberaterversorgungswerkes besteht ein Rechtsanspruch.</w:t>
      </w:r>
    </w:p>
    <w:p>
      <w:r>
        <w:t xml:space="preserve">(3) Das Steuerberaterversorgungswerk erbringt seine Leistungen ausschließlich aus eigenen Mitteln.</w:t>
      </w:r>
    </w:p>
    <w:p>
      <w:r>
        <w:rPr>
          <w:color w:val="555555"/>
          <w:sz w:val="17"/>
        </w:rPr>
        <w:t xml:space="preserve">Zitiervorschlag: § 2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