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BbgStBVG (Brandenburg) — Mitwirkungspflichten der Mitglieder</w:t>
      </w:r>
    </w:p>
    <w:p>
      <w:r>
        <w:rPr>
          <w:color w:val="555555"/>
          <w:sz w:val="18"/>
        </w:rPr>
        <w:t xml:space="preserve">Brandenburgisches Steuerberaterversorgungsgesetz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Mitglieder und ihre Hinterbliebenen sind verpflichtet, dem Steuerberaterversorgungswerk alle für die Mitgliedschaft, die Beitragspflicht und den Leistungsanspruch erforderlichen Angaben zu machen und die hierfür erforderlichen Nachweise vorzulegen. Veränderungen haben die Mitglieder und ihre Hinterbliebenen dem Steuerberaterversorgungswerk unverzüglich mitzuteilen.</w:t>
      </w:r>
    </w:p>
    <w:p>
      <w:r>
        <w:t xml:space="preserve">(2) Solange ein Mitglied oder ein Hinterbliebener einer Auskunftspflicht nicht nachkommt, kann das Steuerberaterversorgungswerk nach Maßgabe der Satzung die Berechnungsgrundlagen für die Beiträge schätzen und Versorgungsleistungen zurückbehalten.</w:t>
      </w:r>
    </w:p>
    <w:p>
      <w:r>
        <w:rPr>
          <w:color w:val="555555"/>
          <w:sz w:val="17"/>
        </w:rPr>
        <w:t xml:space="preserve">Zitiervorschlag: § 19 BbgStBVG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https://recht.nulegal.eu/gesetze/BbgStBVG/19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