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BbgStBVG (Brandenburg) — Verwendung und Anlage der Mittel</w:t>
      </w:r>
    </w:p>
    <w:p>
      <w:r>
        <w:rPr>
          <w:color w:val="555555"/>
          <w:sz w:val="18"/>
        </w:rPr>
        <w:t xml:space="preserve">Brandenburgisches Steuerberaterversorgungsgesetz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Mittel des Steuerberaterversorgungswerkes dürfen nur für satzungsgemäße Leistungen, notwendige Verwaltungskosten und sonstige zur Erfüllung der Aufgaben des Steuerberaterversorgungswerkes erforderliche Aufwendungen sowie zur Bildung erforderlicher Rücklagen und Rückstellungen verwendet werden.</w:t>
      </w:r>
    </w:p>
    <w:p>
      <w:r>
        <w:t xml:space="preserve">(2) Das Vermögen des Steuerberaterversorgungswerks ist, soweit es nicht zur Deckung der laufenden Ausgaben bereitzuhalten ist, wie die Bestände des Sicherungsvermögens nach § 215 des Versicherungsaufsichtsgesetzes und der Anlageverordnung vom 18. April 2016 ( BGBl. I S. 769), die zuletzt durch Artikel 4 Absatz 10 des Gesetzes vom 10. Juli 2020 (BGBl. I S. 1633, 1634) geändert worden ist, in der jeweils geltenden Fassung, sowie der maßgeblichen Richtlinien der Versicherungsaufsichtsbehörde anzulegen.</w:t>
      </w:r>
    </w:p>
    <w:p>
      <w:r>
        <w:rPr>
          <w:color w:val="555555"/>
          <w:sz w:val="17"/>
        </w:rPr>
        <w:t xml:space="preserve">Zitiervorschlag: § 18 BbgStBVG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https://recht.nulegal.eu/gesetze/BbgStBVG/18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