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BbgStBVG (Brandenburg) — Abtretung, Verpfändung, Pfändung, Aufrechnung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Ansprüche auf Leistungen können weder abgetreten noch verpfändet werden. Für die Pfändung gilt § 54 des Ersten Buches Sozialgesetzbuch entsprechend.</w:t>
      </w:r>
    </w:p>
    <w:p>
      <w:r>
        <w:t xml:space="preserve">(2) Das Versorgungswerk kann fällig gewordene Beiträge gegen Leistungsansprüche aufrechnen.</w:t>
      </w:r>
    </w:p>
    <w:p>
      <w:r>
        <w:rPr>
          <w:color w:val="555555"/>
          <w:sz w:val="17"/>
        </w:rPr>
        <w:t xml:space="preserve">Zitiervorschlag: § 16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