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BbgStBVG (Brandenburg) — Leistungen</w:t>
      </w:r>
    </w:p>
    <w:p>
      <w:r>
        <w:rPr>
          <w:color w:val="555555"/>
          <w:sz w:val="18"/>
        </w:rPr>
        <w:t xml:space="preserve">Brandenburgisches Steuerberaterversorgungsgesetz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Das Steuerberaterversorgungswerk erbringt nach Maßgabe dieses Gesetzes und der Satzung auf Antrag folgende Leistungen:</w:t>
      </w:r>
    </w:p>
    <w:p>
      <w:r>
        <w:t xml:space="preserve">Altersrente,</w:t>
      </w:r>
    </w:p>
    <w:p>
      <w:r>
        <w:t xml:space="preserve">Berufsunfähigkeitsrente,</w:t>
      </w:r>
    </w:p>
    <w:p>
      <w:r>
        <w:t xml:space="preserve">Hinterbliebenenrente,</w:t>
      </w:r>
    </w:p>
    <w:p>
      <w:r>
        <w:t xml:space="preserve">Übertragung von Beiträgen an andere Steuerberaterversorgungswerke, sofern ein Überleitungsabkommen besteht,</w:t>
      </w:r>
    </w:p>
    <w:p>
      <w:r>
        <w:t xml:space="preserve">Kapitalabfindung für hinterbliebene Eheleute und durch eingetragene Lebenspartnerschaft verbundene Personen bei Erlöschen des Rentenanspruchs durch Wiederverheiratung oder Begründung einer neuen eingetragenen Lebenspartnerschaft,</w:t>
      </w:r>
    </w:p>
    <w:p>
      <w:r>
        <w:t xml:space="preserve">Kapitalabfindung für Mitglieder, deren Rentenanspruch einen in der Satzung bestimmten monatlichen Mindestbetrag nicht erreicht.</w:t>
      </w:r>
    </w:p>
    <w:p>
      <w:r>
        <w:t xml:space="preserve">Hinterbliebene aus eingetragener Lebenspartnerschaft stehen Hinterbliebenen aus einer Ehe gleich.</w:t>
      </w:r>
    </w:p>
    <w:p>
      <w:r>
        <w:t xml:space="preserve">(2) Bei der Bemessung der Leistungen sind die Zeiten des Mutterschutzes oder der Elternzeit angemessen zu berücksichtigen.</w:t>
      </w:r>
    </w:p>
    <w:p>
      <w:r>
        <w:t xml:space="preserve">(3) Die Satzung kann Zuschüsse zu medizinischen Rehabilitationsmaßnahmen vorsehen.</w:t>
      </w:r>
    </w:p>
    <w:p>
      <w:r>
        <w:t xml:space="preserve">(4) Änderungen der Satzung, die die Erhöhung des Leistungsumfanges betreffen, gelten auch für die vor der Änderung eingetretenen Leistungsfälle.</w:t>
      </w:r>
    </w:p>
    <w:p>
      <w:r>
        <w:t xml:space="preserve">(5) Die Leistungen werden durch Bescheid festgesetzt.</w:t>
      </w:r>
    </w:p>
    <w:p>
      <w:r>
        <w:rPr>
          <w:color w:val="555555"/>
          <w:sz w:val="17"/>
        </w:rPr>
        <w:t xml:space="preserve">Zitiervorschlag: § 14 BbgStBVG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https://recht.nulegal.eu/gesetze/BbgStBVG/14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