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BbgSpkG (Brandenburg) — Aufgaben des Verwaltungsrats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Verwaltungsrat bestimmt die Richtlinien der Geschäftspolitik und überwacht die Geschäftsführung.</w:t>
      </w:r>
    </w:p>
    <w:p>
      <w:r>
        <w:t xml:space="preserve">(2) Der Verwaltungsrat beschließt außer in den übrigen durch dieses Gesetz bestimmten Fällen über</w:t>
      </w:r>
    </w:p>
    <w:p>
      <w:r>
        <w:t xml:space="preserve">die Bestellung, Anstellung, Abberufung und Kündigung eines Mitgliedes und eines stellvertretenden Mitgliedes des Vorstandes nach § 19 Abs. 1 Satz 2 sowie die Bestellung und Abberufung eines stellvertretenden Mitgliedes des Vorstandes nach § 19 Abs. 1 Satz 4,</w:t>
      </w:r>
    </w:p>
    <w:p>
      <w:r>
        <w:t xml:space="preserve">die Bestimmung des vorsitzenden Vorstandsmitglieds und seiner Stellvertreterin oder seines Stellvertreters,</w:t>
      </w:r>
    </w:p>
    <w:p>
      <w:r>
        <w:t xml:space="preserve">die Bedingungen des Anstellungsvertrages und der Auflösung des Anstellungsverhältnisses mit einem Mitglied und einem stellvertretenden Mitglied des Vorstandes nach § 19 Abs. 1 Satz 2,</w:t>
      </w:r>
    </w:p>
    <w:p>
      <w:r>
        <w:t xml:space="preserve">die Wahl der Mitglieder des Kreditausschusses und ihrer stellvertretenden Mitglieder,</w:t>
      </w:r>
    </w:p>
    <w:p>
      <w:r>
        <w:t xml:space="preserve">den Erlaß der Geschäftsanweisungen für den Vorstand, den Kreditausschuß und die Innenrevision,</w:t>
      </w:r>
    </w:p>
    <w:p>
      <w:r>
        <w:t xml:space="preserve">die Entlastung der einzelnen Mitglieder des Vorstandes,</w:t>
      </w:r>
    </w:p>
    <w:p>
      <w:r>
        <w:t xml:space="preserve">die Feststellung des Jahresabschlusses und die Billigung des Lageberichts sowie die Verwendung des Bilanzgewinns,</w:t>
      </w:r>
    </w:p>
    <w:p>
      <w:r>
        <w:t xml:space="preserve">die Aufwandsentschädigung für die Mitglieder des Verwaltungsrats und seiner Ausschüsse nach § 14 Abs. 4,</w:t>
      </w:r>
    </w:p>
    <w:p>
      <w:r>
        <w:t xml:space="preserve">das Siegel.</w:t>
      </w:r>
    </w:p>
    <w:p>
      <w:r>
        <w:t xml:space="preserve">(3) Der Zustimmung des Verwaltungsrats bedürfen Beschlüsse des Vorstandes über</w:t>
      </w:r>
    </w:p>
    <w:p>
      <w:r>
        <w:t xml:space="preserve">die Grundsätze der jährlich fortzuschreibenden mittelfristigen Unternehmensplanung,</w:t>
      </w:r>
    </w:p>
    <w:p>
      <w:r>
        <w:t xml:space="preserve">die Grundsätze der Personalpolitik,</w:t>
      </w:r>
    </w:p>
    <w:p>
      <w:r>
        <w:t xml:space="preserve">den Erwerb, die Veräußerung und die Belastung von Grundstücken; dies gilt nicht für den Erwerb und die Veräußerung von Grundstücken, die zur Vermeidung von Verlusten im Wege der Zwangsversteigerung erworben werden oder erworben worden sind,</w:t>
      </w:r>
    </w:p>
    <w:p>
      <w:r>
        <w:t xml:space="preserve">die Errichtung von Gebäuden,</w:t>
      </w:r>
    </w:p>
    <w:p>
      <w:r>
        <w:t xml:space="preserve">die Eröffnung und Schließung von Zweigstellen sowie ihre Übertragung auf andere Sparkassen,</w:t>
      </w:r>
    </w:p>
    <w:p>
      <w:r>
        <w:t xml:space="preserve">den Erwerb sowie die Veränderung und Veräußerung von Beteiligungen,</w:t>
      </w:r>
    </w:p>
    <w:p>
      <w:r>
        <w:t xml:space="preserve">die Aufnahme von Eigenmitteln nach § 3 Abs. 3,</w:t>
      </w:r>
    </w:p>
    <w:p>
      <w:r>
        <w:t xml:space="preserve">die Vorwegzuführung von Teilen des Jahresüberschusses nach § 27 Abs. 1,</w:t>
      </w:r>
    </w:p>
    <w:p>
      <w:r>
        <w:t xml:space="preserve">die Gewährung von Mitteln zur Mitfinanzierung von Schuldnerberatungsstellen.</w:t>
      </w:r>
    </w:p>
    <w:p>
      <w:r>
        <w:t xml:space="preserve">(4) Vor der Beschlußfassung der Vertretung des Trägers wird der Verwaltungsrat angehört über</w:t>
      </w:r>
    </w:p>
    <w:p>
      <w:r>
        <w:t xml:space="preserve">die Auflösung der Sparkasse,</w:t>
      </w:r>
    </w:p>
    <w:p>
      <w:r>
        <w:t xml:space="preserve">Vereinbarungen über eine Vereinigung von Sparkassen nach § 28,</w:t>
      </w:r>
    </w:p>
    <w:p>
      <w:r>
        <w:t xml:space="preserve">den Erlaß und die Änderung der Satzung.</w:t>
      </w:r>
    </w:p>
    <w:p>
      <w:r>
        <w:t xml:space="preserve">(5) Der Verwaltungsrat kann die Befugnis nach Absatz 2 Nr. 3 auf einen Ausschuß übertragen, dessen Mitglieder aus seiner Mitte bestellt werden. Für bestimmte Aufgaben kann der Verwaltungsrat außerdem beratende Ausschüsse bilden.</w:t>
      </w:r>
    </w:p>
    <w:p>
      <w:r>
        <w:t xml:space="preserve">(6) Gegenüber dem Vorstand wird die Sparkasse durch den Verwaltungsrat vertreten, für den dessen vorsitzendes Mitglied handelt.</w:t>
      </w:r>
    </w:p>
    <w:p>
      <w:r>
        <w:rPr>
          <w:color w:val="555555"/>
          <w:sz w:val="17"/>
        </w:rPr>
        <w:t xml:space="preserve">Zitiervorschlag: § 8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