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BbgSpkG (Brandenburg) — Sonderregelungen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kreisangehörige Städte, die vor dem in § 16 des Kreisneugliederungsgesetzes genannten Zeitpunkt kreisfrei waren und die bei Inkrafttreten dieses Gesetzes Träger einer Sparkasse sind, finden die für kreisfreie Städte geltenden Bestimmungen dieses Gesetzes mit Ausnahme von § 1 Abs. 2 Anwendung.</w:t>
      </w:r>
    </w:p>
    <w:p>
      <w:r>
        <w:t xml:space="preserve">(2) Das Gebiet einer kreisangehörigen Stadt mit eigener Sparkasse gehört nicht zum Geschäftsgebiet einer Sparkasse in der Trägerschaft eines Landkreises.</w:t>
      </w:r>
    </w:p>
    <w:p>
      <w:r>
        <w:rPr>
          <w:color w:val="555555"/>
          <w:sz w:val="17"/>
        </w:rPr>
        <w:t xml:space="preserve">Zitiervorschlag: § 34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