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BbgSpkG (Brandenburg) — Übergangsvorschriften</w:t>
      </w:r>
    </w:p>
    <w:p>
      <w:r>
        <w:rPr>
          <w:color w:val="555555"/>
          <w:sz w:val="18"/>
        </w:rPr>
        <w:t xml:space="preserve">Brandenburgisches Sparkassengesetz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§ 20 Absatz 1 Satz 2 findet auf die bis zum 20. März 2018 geltenden Anstellungsverträge ordentlicher und stellvertretender Vorstandsmitglieder nach § 19 Absatz 1 Satz 2 mit der Maßgabe Anwendung, dass die Mindestaltersgrenze 63 Jahre beträgt.</w:t>
      </w:r>
    </w:p>
    <w:p>
      <w:r>
        <w:rPr>
          <w:color w:val="555555"/>
          <w:sz w:val="17"/>
        </w:rPr>
        <w:t xml:space="preserve">Zitiervorschlag: § 33 BbgSpkG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https://recht.nulegal.eu/gesetze/BbgSpkG/33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