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BbgSpkG (Brandenburg) — Befugnisse der Sparkassenaufsichtsbehörde</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Aufsicht erstreckt sich darauf, daß Verwaltung und Geschäftsführung der Sparkasse den Gesetzen, den Rechtsverordnungen, der Satzung und den aufsichtsbehördlichen Anordnungen entsprechen (Rechtsaufsicht). Bei der Durchführung der Aufsicht kann sich die Sparkassenaufsichtsbehörde der Einrichtungen des Ostdeutschen Sparkassenverbandes und in Ausnahmefällen anderer Dritter bedienen, deren Kosten die Sparkasse trägt.</w:t>
      </w:r>
    </w:p>
    <w:p>
      <w:r>
        <w:t xml:space="preserve">(2) Die Sparkassenaufsichtsbehörde kann sich jederzeit über die Angelegenheiten der Sparkasse unterrichten, insbesondere sämtliche Geschäfts- und Verwaltungsvorgänge nachprüfen, hierfür die Geschäftsräume der Sparkasse betreten sowie Berichte und Akten anfordern.</w:t>
      </w:r>
    </w:p>
    <w:p>
      <w:r>
        <w:t xml:space="preserve">(3) Die Sparkassenaufsichtsbehörde kann verlangen, daß die Organe der Sparkasse oder deren Ausschüsse zur Behandlung einer bestimmten Angelegenheit einberufen werden. Sie kann Beschlüsse und Anordnungen der Organe der Sparkasse und deren Ausschüsse, die das Recht verletzen, aufheben und verlangen, daß Maßnahmen, die aufgrund derartiger Beschlüsse oder Anordnungen getroffen worden sind, rückgängig gemacht werden.</w:t>
      </w:r>
    </w:p>
    <w:p>
      <w:r>
        <w:t xml:space="preserve">(4) Erfüllt die Sparkasse die ihr obliegenden Rechtspflichten nicht oder kommt sie dem Verlangen der Sparkassenaufsichtsbehörde nach Absatz 3 nicht nach, so kann die Sparkassenaufsichtsbehörde die Sparkasse anweisen, innerhalb einer angemessenen Frist das Erforderliche zu veranlassen. Kommt die Sparkasse der Anweisung nicht innerhalb der ihr gesetzten Frist nach, so kann die Sparkassenaufsichtsbehörde anstelle der Sparkasse das Erforderliche anordnen und auf deren Kosten selbst durchführen oder durch eine beauftragte Person durchführen lassen.</w:t>
      </w:r>
    </w:p>
    <w:p>
      <w:r>
        <w:t xml:space="preserve">(5) Wenn und solange der ordnungsmäßige Geschäftsgang der Sparkasse es erfordert und die Maßnahmen der Sparkassenaufsichtsbehörde nach den Absätzen 2 bis 4 nicht ausreichen, kann die Sparkassenaufsichtsbehörde eine beauftragte Person bestellen, der alle oder einzelne Aufgaben der Sparkasse auf Kosten der Sparkasse wahrnimmt. Die beauftragte Person hat die Stellung eines Organs der Sparkasse.</w:t>
      </w:r>
    </w:p>
    <w:p>
      <w:r>
        <w:rPr>
          <w:color w:val="555555"/>
          <w:sz w:val="17"/>
        </w:rPr>
        <w:t xml:space="preserve">Zitiervorschlag: § 31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