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BbgSpkG (Brandenburg) — Sparkassenaufsichtsbehörde</w:t>
      </w:r>
    </w:p>
    <w:p>
      <w:r>
        <w:rPr>
          <w:color w:val="555555"/>
          <w:sz w:val="18"/>
        </w:rPr>
        <w:t xml:space="preserve">Brandenburgisches Sparkassengesetz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Sparkassen unterliegen der Aufsicht des Landes.</w:t>
      </w:r>
    </w:p>
    <w:p>
      <w:r>
        <w:t xml:space="preserve">(2) Sparkassenaufsichtsbehörde ist das Ministerium der Finanzen. Die Befugnisse der Kommunalaufsichtsbehörden bleiben unberührt.</w:t>
      </w:r>
    </w:p>
    <w:p>
      <w:r>
        <w:rPr>
          <w:color w:val="555555"/>
          <w:sz w:val="17"/>
        </w:rPr>
        <w:t xml:space="preserve">Zitiervorschlag: § 30 BbgSpkG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https://recht.nulegal.eu/gesetze/BbgSpkG/30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