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BbgSpkG (Brandenburg) — Trägerverantwortung, Eigenmittel</w:t>
      </w:r>
    </w:p>
    <w:p>
      <w:r>
        <w:rPr>
          <w:color w:val="555555"/>
          <w:sz w:val="18"/>
        </w:rPr>
        <w:t xml:space="preserve">Brandenburgisches Sparkassengesetz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Sparkasse haftet für ihre Verbindlichkeiten mit ihrem gesamten Vermögen. Der Träger der Sparkasse haftet nicht für deren Verbindlichkeiten.</w:t>
      </w:r>
    </w:p>
    <w:p>
      <w:r>
        <w:t xml:space="preserve">(2) Der Träger unterstützt die Sparkasse bei der Erfüllung ihrer Aufgaben mit der Maßgabe, dass ein Anspruch der Sparkasse gegen den Träger oder eine sonstige Verpflichtung des Trägers, der Sparkasse Mittel zur Verfügung zu stellen, nicht besteht.</w:t>
      </w:r>
    </w:p>
    <w:p>
      <w:r>
        <w:t xml:space="preserve">(3) Die Sparkasse kann Eigenmittel nach Maßgabe des Gesetzes über das Kreditwesen aufnehmen, wenn damit keine Mitwirkungsrechte in ihren Organen verbunden sind. Stille Vermögenseinlagen können ausschließlich von juristischen Personen des öffentlichen Rechts und von Gesellschaften des privaten Rechts, deren Aufgabe die Förderung des Sparkassenwesens ist, hereingenommen werden.</w:t>
      </w:r>
    </w:p>
    <w:p>
      <w:r>
        <w:rPr>
          <w:color w:val="555555"/>
          <w:sz w:val="17"/>
        </w:rPr>
        <w:t xml:space="preserve">Zitiervorschlag: § 3 BbgSpkG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https://recht.nulegal.eu/gesetze/BbgSpkG/3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