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BbgSpkG (Brandenburg) — Auflösung einer Sparkasse</w:t>
      </w:r>
    </w:p>
    <w:p>
      <w:r>
        <w:rPr>
          <w:color w:val="555555"/>
          <w:sz w:val="18"/>
        </w:rPr>
        <w:t xml:space="preserve">Brandenburgisches Sparkassengesetz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Auflösung der Sparkasse bedarf der Zustimmung der Sparkassenaufsichtsbehörde. Der Ostdeutsche Sparkassenverband ist vor Erteilung der Zustimmung zu hören.</w:t>
      </w:r>
    </w:p>
    <w:p>
      <w:r>
        <w:t xml:space="preserve">(2) Nach Erteilung der Zustimmung zur Auflösung der Sparkasse hat der Vorstand die Auflösung der Sparkasse dreimal mit Zwischenfristen von je vier Wochen öffentlich bekanntzumachen und zugleich die Guthaben zu einem mindestens drei Monate nach der ersten Bekanntmachung liegenden Zeitpunkt zu kündigen.</w:t>
      </w:r>
    </w:p>
    <w:p>
      <w:r>
        <w:t xml:space="preserve">(3) Guthaben, die bei Fälligkeit nicht abgehoben werden, werden nicht weiter verzinst. Der zur Befriedigung der Gläubigerinnen und Gläubiger erforderliche Teil des Sparkassenvermögens ist zu hinterlegen.</w:t>
      </w:r>
    </w:p>
    <w:p>
      <w:r>
        <w:t xml:space="preserve">(4) Das nach Erfüllung sämtlicher Verbindlichkeiten verbleibende Vermögen ist für öffentliche, im Sinne des Steuerrechts gemeinnützige Zwecke im Gebiet des Trägers zu verwenden.</w:t>
      </w:r>
    </w:p>
    <w:p>
      <w:r>
        <w:rPr>
          <w:color w:val="555555"/>
          <w:sz w:val="17"/>
        </w:rPr>
        <w:t xml:space="preserve">Zitiervorschlag: § 29 BbgSpkG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https://recht.nulegal.eu/gesetze/BbgSpkG/29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