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BbgSpkG (Brandenburg) — Vorstandsmitglieder, Arbeitnehmerinnen und Arbeitnehmer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und die stellvertretenden Mitglieder des Vorstandes sowie die bei der Sparkasse beschäftigten Arbeitnehmerinnen und Arbeitnehmer sind Beschäftigte der Sparkasse.</w:t>
      </w:r>
    </w:p>
    <w:p>
      <w:r>
        <w:t xml:space="preserve">(2) Der Vorstand entscheidet über die Einstellung, Ein- und Höhergruppierung sowie die Entlassung der Arbeitnehmerinnen und Arbeitnehmer.</w:t>
      </w:r>
    </w:p>
    <w:p>
      <w:r>
        <w:t xml:space="preserve">(3) Dienstvorgesetzte oder Dienstvorgesetzter der ordentlichen und der stellvertretenden Vorstandsmitglieder nach § 19 Abs. 1 Satz 2 ist das vorsitzende Mitglied des Verwaltungsrats. Dienstvorgesetzter der übrigen Beschäftigten der Sparkasse ist der Vorstand.</w:t>
      </w:r>
    </w:p>
    <w:p>
      <w:r>
        <w:t xml:space="preserve">(4) § 23 gilt auch für die bei der Sparkasse tätigen Arbeitnehmerinnen und Arbeitnehmer.</w:t>
      </w:r>
    </w:p>
    <w:p>
      <w:r>
        <w:rPr>
          <w:color w:val="555555"/>
          <w:sz w:val="17"/>
        </w:rPr>
        <w:t xml:space="preserve">Zitiervorschlag: § 24 BbgSpkG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