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BbgSpkG (Brandenburg) — Aufgaben des Kreditausschusses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Kreditausschuß beschließt über die Zustimmung zur Gewährung von Krediten nach Maßgabe der Geschäftsanweisung und der nach § 32 erlassenen Rechtsverordnung sowie über die Zustimmung zur Gewährung von Organkrediten. Über die Gewährung von Organkrediten ist der Verwaltungsrat in seiner nächsten Sitzung zu informieren.</w:t>
      </w:r>
    </w:p>
    <w:p>
      <w:r>
        <w:t xml:space="preserve">(2) Der Kreditausschuß ist beschlußfähig, wenn mindestens die Hälfte seiner Mitglieder, darunter das vorsitzende Mitglied, jedoch nicht weniger als drei stimmberechtigte Mitglieder anwesend sind. Der Kreditausschuß stimmt offen ab. § 9 Abs. 6 Satz 2 und 3, § 10 Abs. 3 sowie § 15 gelten entsprechend.</w:t>
      </w:r>
    </w:p>
    <w:p>
      <w:r>
        <w:rPr>
          <w:color w:val="555555"/>
          <w:sz w:val="17"/>
        </w:rPr>
        <w:t xml:space="preserve">Zitiervorschlag: § 16 BbgSpkG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