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BbgSpielhG (Brandenburg) — Beschränkungen von Spielhallen</w:t>
      </w:r>
    </w:p>
    <w:p>
      <w:r>
        <w:rPr>
          <w:color w:val="555555"/>
          <w:sz w:val="18"/>
        </w:rPr>
        <w:t xml:space="preserve">Brandenburgisches Spielhallengesetz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Zwischen Spielhallen ist ein Mindestabstand von 500 Metern Luftlinie einzuhalten.</w:t>
      </w:r>
    </w:p>
    <w:p>
      <w:r>
        <w:t xml:space="preserve">(2) Die Erteilung einer Erlaubnis für eine Spielhalle, die in einem baulichen Verbund mit einer oder weiteren Spielhallen, insbesondere in einem gemeinsamen Gebäude oder Gebäudekomplex, untergebracht ist, ist ausgeschlossen.</w:t>
      </w:r>
    </w:p>
    <w:p>
      <w:r>
        <w:t xml:space="preserve">(3) Der Betrieb einer Spielhalle läuft den Zielen des § 1 Glücksspielstaatsvertrag 2021 zuwider und ist unzulässig, wenn ihr Abstand zu einer Wettvermittlungsstelle 200 Meter Luftlinie unterschreitet.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BbgSpielhG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https://recht.nulegal.eu/gesetze/BbgSpielhG/3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