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BbgSpielhG (Brandenburg) — Einschränkung von Grundrechten</w:t>
      </w:r>
    </w:p>
    <w:p>
      <w:r>
        <w:rPr>
          <w:color w:val="555555"/>
          <w:sz w:val="18"/>
        </w:rPr>
        <w:t xml:space="preserve">Brandenburgisches Spielhallengesetz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wird das Grundrecht der Unverletzlichkeit der Wohnung (Artikel 13 des Grundgesetzes und Artikel 15 der Verfassung des Landes Brandenburg), das Grundrecht der Berufsfreiheit (Artikel 49 Absatz 1 der Verfassung des Landes Brandenburg) und das Grundrecht auf informationelle Selbstbestimmung (Artikel 11 Absatz 1 der Verfassung des Landes Brandenburg) eingeschränkt.</w:t>
      </w:r>
    </w:p>
    <w:p>
      <w:r>
        <w:rPr>
          <w:color w:val="555555"/>
          <w:sz w:val="17"/>
        </w:rPr>
        <w:t xml:space="preserve">Zitiervorschlag: § 12 BbgSpielhG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https://recht.nulegal.eu/gesetze/BbgSpielhG/12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