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BbgSpMGZV (Brandenburg)</w:t>
      </w:r>
    </w:p>
    <w:p>
      <w:r>
        <w:rPr>
          <w:color w:val="555555"/>
          <w:sz w:val="18"/>
        </w:rPr>
        <w:t xml:space="preserve">Brandenburgische Sprachmittlergesetzzuständigkeitsverordnung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für die Verfolgung und Ahndung der in § 10 Absatz 1 des Brandenburgischen Sprachmittlergesetzes und in § 11 Absatz 1 des Gerichtsdolmetschergesetzes geregelten Ordnungswidrigkeiten zuständige Verwaltungsbehörde ist jeweils die nach § 1 für zuständig bestimmte Stelle.</w:t>
      </w:r>
    </w:p>
    <w:p>
      <w:r>
        <w:rPr>
          <w:color w:val="555555"/>
          <w:sz w:val="17"/>
        </w:rPr>
        <w:t xml:space="preserve">Zitiervorschlag: § 2 BbgSpMGZV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https://recht.nulegal.eu/gesetze/BbgSpMGZV/2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