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BbgSpMG (Brandenburg) — Einschränkung von Grundrechten</w:t>
      </w:r>
    </w:p>
    <w:p>
      <w:r>
        <w:rPr>
          <w:color w:val="555555"/>
          <w:sz w:val="18"/>
        </w:rPr>
        <w:t xml:space="preserve">Brandenburgisches Sprachmittlergesetz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 §§ 3 bis 7 und 8 Absatz 6 wird das Grundrecht auf Berufsfreiheit nach Artikel 49 Absatz 1 Satz 1 der Verfassung des Landes Brandenburg und durch die §§ 8 und 9 das Grundrecht auf informationelle Selbstbestimmung nach Artikel 2 Absatz 1 in Verbindung mit Artikel 1 Absatz 1 des Grundgesetzes und das Grundrecht auf Datenschutz nach Artikel 11 Absatz 1 der Verfassung des Landes Brandenburg eingeschränkt.</w:t>
      </w:r>
    </w:p>
    <w:p>
      <w:r>
        <w:rPr>
          <w:color w:val="555555"/>
          <w:sz w:val="17"/>
        </w:rPr>
        <w:t xml:space="preserve">Zitiervorschlag: § 13 BbgSpMG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https://recht.nulegal.eu/gesetze/BbgSpMG/13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