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BbgSozBerG (Brandenburg) — Berufsbezeichnungen</w:t>
      </w:r>
    </w:p>
    <w:p>
      <w:r>
        <w:rPr>
          <w:color w:val="555555"/>
          <w:sz w:val="18"/>
        </w:rPr>
        <w:t xml:space="preserve">Brandenburgisches Sozialberufsgesetz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eine staatliche Anerkennung nach § 1 Abs. 1 Nr. 1 Buchstabe a erhalten hat, ist zur Führung der Berufsbezeichnung „staatlich anerkannte Sozialarbeiterin/Sozialpädagogin“ oder „staatlich anerkannter Sozialarbeiter/Sozialpädagoge“ berechtigt.</w:t>
      </w:r>
    </w:p>
    <w:p>
      <w:r>
        <w:t xml:space="preserve">(2) Wer eine staatliche Anerkennung nach § 1 Absatz 1 Nummer 1 Buchstabe b erhalten hat, ist zur Führung der Berufsbezeichnung „staatlich anerkannte Kindheitspädagogin“ oder „staatlich anerkannter Kindheitspädagoge“ berechtigt.</w:t>
      </w:r>
    </w:p>
    <w:p>
      <w:r>
        <w:rPr>
          <w:color w:val="555555"/>
          <w:sz w:val="17"/>
        </w:rPr>
        <w:t xml:space="preserve">Zitiervorschlag: § 3 BbgSozBerG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https://recht.nulegal.eu/gesetze/BbgSozBerG/3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