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BbgSozBerG (Brandenburg) — Berichtspflicht</w:t>
      </w:r>
    </w:p>
    <w:p>
      <w:r>
        <w:rPr>
          <w:color w:val="555555"/>
          <w:sz w:val="18"/>
        </w:rPr>
        <w:t xml:space="preserve">Brandenburgisches Sozialberufsgesetz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zuständige Behörde übermittelt dem zuständigen Bundesministerium die erforderlichen statistischen Aufstellungen zu den getroffenen Entscheidungen und eine Beschreibung der Hauptprobleme bei der Anwendung der Richtlinie 2005/36/EG zur Weiterleitung an die Kommission.</w:t>
      </w:r>
    </w:p>
    <w:p>
      <w:r>
        <w:rPr>
          <w:color w:val="555555"/>
          <w:sz w:val="17"/>
        </w:rPr>
        <w:t xml:space="preserve">Zitiervorschlag: § 21 BbgSozBerG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https://recht.nulegal.eu/gesetze/BbgSozBerG/21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