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BbgSchulG (Brandenburg) — Ordnungswidrigkeiten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seinen Pflichten gemäß § 41 Absatz 1 nicht nachkommt oder</w:t>
      </w:r>
    </w:p>
    <w:p>
      <w:r>
        <w:t xml:space="preserve">als schulpflichtige Schülerin oder schulpflichtiger Schüler unentschuldigt nicht am Unterricht oder nicht an verbindlichen schulischen Veranstaltungen oder Untersuchungen gemäß § 45 Abs. 2 teilnimmt..</w:t>
      </w:r>
    </w:p>
    <w:p>
      <w:r>
        <w:t xml:space="preserve">(2) Die Ordnungswidrigkeit kann mit einer Geldbuße bis zu 2 500 Euro geahndet werden.</w:t>
      </w:r>
    </w:p>
    <w:p>
      <w:r>
        <w:t xml:space="preserve">(3) Verwaltungsbehörde im Sinne von § 36 Abs. 1 Nr. 1 des Gesetzes über Ordnungswidrigkeiten ist die jeweils zuständige Kreisordnungsbehörde.</w:t>
      </w:r>
    </w:p>
    <w:p>
      <w:r>
        <w:rPr>
          <w:color w:val="555555"/>
          <w:sz w:val="17"/>
        </w:rPr>
        <w:t xml:space="preserve">Zitiervorschlag: § 42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