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BbgSchulG (Brandenburg) — Nähere Ausgestaltung der sonderpädagogischen Förderung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Schule zuständige Mitglied der Landesregierung wird ermächtigt, das Nähere zur Ausgestaltung der sonderpädagogischen Förderung durch Rechtsverordnung zu regeln, insbesondere</w:t>
      </w:r>
    </w:p>
    <w:p>
      <w:r>
        <w:t xml:space="preserve">die unterschiedlichen Formen des gemeinsamen Unterrichts in den allgemeinen Schulen und die für diese Formen erforderlichen räumlichen, sächlichen und personellen Voraussetzungen,</w:t>
      </w:r>
    </w:p>
    <w:p>
      <w:r>
        <w:t xml:space="preserve">die Aufgaben und die Organisation der Sonderpädagogischen Förder- und Beratungsstellen,</w:t>
      </w:r>
    </w:p>
    <w:p>
      <w:r>
        <w:t xml:space="preserve">die Art und den Umfang der Zusammenarbeit mit Sonderpädagogischen Förder- und Beratungsstellen, regionalen Frühförder- und Beratungsstellen, der schulpsychologischen Beratung und anderen Behörden,</w:t>
      </w:r>
    </w:p>
    <w:p>
      <w:r>
        <w:t xml:space="preserve">das Verfahren zur Ermittlung des sonderpädagogischen Förderbedarfs sowie der Entscheidung des staatlichen Schulamtes gemäß § 50 Abs. 2.</w:t>
      </w:r>
    </w:p>
    <w:p>
      <w:r>
        <w:t xml:space="preserve">Dazu ist rechtzeitig und nach umfassender Information das Benehmen mit dem für Schule zuständigen Ausschuss des Landtages herzustellen.</w:t>
      </w:r>
    </w:p>
    <w:p>
      <w:r>
        <w:rPr>
          <w:color w:val="555555"/>
          <w:sz w:val="17"/>
        </w:rPr>
        <w:t xml:space="preserve">Zitiervorschlag: § 31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