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BbgSchulG (Brandenburg) — Recht auf Bildung</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Bestimmungen dieses Gesetzes dienen der Verwirklichung des Rechts auf Bildung gemäß Artikel 29 Abs. 1 der Verfassung des Landes Brandenburg. Die Schulen sind so zu gestalten, dass gleicher Zugang, unabhängig von der wirtschaftlichen und sozialen Lage, der nationalen Herkunft, der politischen oder religiösen Überzeugung und des Geschlechts, gewährleistet wird. Es ist Aufgabe aller Schulen, jede Schülerin und jeden Schüler individuell zu fördern. Schülerinnen und Schüler mit besonderen Begabungen, sozial benachteiligte Schülerinnen und Schüler sowie Schülerinnen und Schüler mit Behinderungen sind besonders zu fördern.</w:t>
      </w:r>
    </w:p>
    <w:p>
      <w:r>
        <w:t xml:space="preserve">(2) Besonders leistungsfähige und begabte Schülerinnen und Schüler sollen besonders durch eine Zusammenarbeit mit Hochschulen gemäß § 9 Abs. 1, Schulen mit besonderer Prägung gemäß § 8a und § 143, die Möglichkeit des Überspringens oder der Vorversetzung gemäß § 59 Abs. 6, die Berücksichtigung des besonderen Unterrichtsbedarfs gemäß § 109 Abs. 1 Satz 2 Nr. 5 und durch individuelle Hilfen gefördert werden. Das für die Schule zuständige Ministerium kann zur individuellen Förderung von geeigneten Schülerinnen und Schülern zu jedem Schuljahr an ausgewählten Gymnasien und Gesamtschulen nach von der Schule einvernehmlich mit dem Schulträger gestelltem Antrag die Bildung von Leistungs- und Begabungsklassen ab der Jahrgangsstufe 5 ohne vorherige Durchführung eines Schulversuchs genehmigen. Hierfür bestimmt das für Schule zuständige Ministerium die Zahl von Klassen. Die Sätze 2 und 3 gelten entsprechend für Ersatzschulen. Insgesamt sind nicht mehr als 35 Leistungs- und Begabungsklassen zu genehmigen. Das für Schule zuständige Mitglied der Landesregierung wird ermächtigt, die Anforderungen an die Errichtung von Leistungs- und Begabungsklassen durch Rechtsverordnung zu regeln. Dazu ist rechtzeitig und nach umfassender Information das Einvernehmen mit dem für Bildung zuständigen Ausschuss des Landtages herzustellen.</w:t>
      </w:r>
    </w:p>
    <w:p>
      <w:r>
        <w:t xml:space="preserve">(3) Sozial Benachteiligte sollen besonders durch eine Zusammenarbeit mit Trägern der Jugendhilfe und Trägern der sozialen Sicherung gemäß § 9 Abs. 1, die Schaffung von Ganztagsangeboten gemäß § 18, besondere Unterrichtsangebote und Fördermaßnahmen gemäß § 23 Nr. 2, die Berücksichtigung des Unterrichtsbedarfs gemäß § 109 Abs. 1 Satz 2 Nr. 2 und durch individuelle Hilfen im Rahmen der Lernmittelfreiheit gemäß § 111 und der Schülerfahrtkostenerstattung gemäß § 112 gefördert werden.</w:t>
      </w:r>
    </w:p>
    <w:p>
      <w:r>
        <w:t xml:space="preserve">(4) Schülerinnen und Schüler mit sonderpädagogischem Förderbedarf sollen gemäß § 29 Abs. 2 vorrangig im gemeinsamen Unterricht mit Schülerinnen und Schülern ohne sonderpädagogischen Förderbedarf oder in Schulen oder Klassen mit einem entsprechenden sonderpädagogischen Förderschwerpunkt (Förderschulen oder Förderklassen), durch Ganztagsangebote oder Ganztagsschulen gemäß § 18 Abs. 5, durch die Berücksichtigung des besonderen Unterrichtsbedarfs gemäß § 109 Abs. 1 Satz 2 Nr. 7 und durch individuelle Hilfen besonders gefördert werden.</w:t>
      </w:r>
    </w:p>
    <w:p>
      <w:r>
        <w:rPr>
          <w:color w:val="555555"/>
          <w:sz w:val="17"/>
        </w:rPr>
        <w:t xml:space="preserve">Zitiervorschlag: § 3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