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BbgSchulG (Brandenburg) — Nähere Ausgestaltung der Sekundarstufe I</w:t>
      </w:r>
    </w:p>
    <w:p>
      <w:r>
        <w:rPr>
          <w:color w:val="555555"/>
          <w:sz w:val="18"/>
        </w:rPr>
        <w:t xml:space="preserve">Brandenburgisches 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Schule zuständige Mitglied der Landesregierung wird ermächtigt, das Nähere zur Ausgestaltung der Bildungsgänge und zu den Schulformen der Sekundarstufe I durch Rechtsverordnung zu regeln, insbesondere</w:t>
      </w:r>
    </w:p>
    <w:p>
      <w:r>
        <w:t xml:space="preserve">die Einzelheiten des Beginns der Differenzierung und die Anzahl der differenziert zu unterrichtenden Fächer und Lernbereiche bei leistungsdifferenziertem Unterricht,</w:t>
      </w:r>
    </w:p>
    <w:p>
      <w:r>
        <w:t xml:space="preserve">besondere Unterrichtsangebote und Fördermaßnahmen, die an die Stelle des Unterrichts im Klassenverband und in Kursen treten können, vor allem zur Verbindung von schulischem Lernen und berufsvorbereitenden Maßnahmen,</w:t>
      </w:r>
    </w:p>
    <w:p>
      <w:r>
        <w:t xml:space="preserve">Prüfungen am Ende der Jahrgangsstufe 10,</w:t>
      </w:r>
    </w:p>
    <w:p>
      <w:r>
        <w:t xml:space="preserve">ergänzende Bildungsangebote für Kinder von beruflich Reisenden und</w:t>
      </w:r>
    </w:p>
    <w:p>
      <w:r>
        <w:t xml:space="preserve">die Voraussetzungen und die Organisation des jahrgangsstufenübergreifenden Unterrichts in Schulen, die nach besonderen pädagogischen Konzepten arbeiten.</w:t>
      </w:r>
    </w:p>
    <w:p>
      <w:r>
        <w:rPr>
          <w:color w:val="555555"/>
          <w:sz w:val="17"/>
        </w:rPr>
        <w:t xml:space="preserve">Zitiervorschlag: § 23 BbgSchulG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https://recht.nulegal.eu/gesetze/BbgSchulG/23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