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146 BbgSchulG (Brandenburg) — Durchführung des Gesetzes</w:t>
      </w:r>
    </w:p>
    <w:p>
      <w:r>
        <w:rPr>
          <w:color w:val="555555"/>
          <w:sz w:val="18"/>
        </w:rPr>
        <w:t xml:space="preserve">Brandenburgisches Schulgesetz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26.07.2026 (konsolidierte Textfassung, kein amtliches Inkrafttretensdatum)</w:t>
      </w:r>
    </w:p>
    <w:p>
      <w:r>
        <w:t xml:space="preserve">Die zur Durchführung dieses Gesetzes erforderlichen Verwaltungsvorschriften erlässt das für Schule zuständige Ministerium, soweit in diesem Gesetz nichts anderes geregelt ist.</w:t>
      </w:r>
    </w:p>
    <w:p>
      <w:r>
        <w:rPr>
          <w:color w:val="555555"/>
          <w:sz w:val="17"/>
        </w:rPr>
        <w:t xml:space="preserve">Zitiervorschlag: § 146 BbgSchulG (Brandenburg)</w:t>
      </w:r>
    </w:p>
    <w:p>
      <w:r>
        <w:rPr>
          <w:color w:val="555555"/>
          <w:sz w:val="17"/>
        </w:rPr>
        <w:t xml:space="preserve">Quelle: bravors, abgerufen 26.07.2026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https://recht.nulegal.eu/gesetze/BbgSchulG/146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