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112 BbgSchulG (Brandenburg) — Schülerfahrtkosten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sind Träger der Schülerbeförderung für die Schülerinnen und Schüler an Schulen in öffentlicher Trägerschaft und an Ersatzschulen, die in ihrem Gebiet ihre Wohnung haben. Bei Schülerinnen und Schülern der beruflichen Schulen mit einem Berufsausbildungs- oder Arbeitsverhältnis tritt die im Ausbildungs- oder Arbeitsvertrag benannte Ausbildungs- oder Arbeitsstätte an die Stelle der Wohnung. Die Landkreise und kreisfreien Städte regeln das Nähere in eigener Verantwortung durch Satzung.</w:t>
      </w:r>
    </w:p>
    <w:p>
      <w:r>
        <w:t xml:space="preserve">(2) Die Landkreise und kreisfreien Städte haben sich als Aufgabenträger für den übrigen öffentlichen Personennahverkehr, auch gegenüber den Aufgabenträgern für den öffentlichen Schienenpersonennahverkehr, darum zu bemühen, dass die Fahrpläne und Beförderungsleistungen der öffentlichen Verkehrsmittel in ihrem Gebiet den Bedürfnissen der Schülerinnen und Schüler hinreichend Rechnung tragen. Die Schülerbeförderung soll in den öffentlichen Personennahverkehr eingegliedert werden.</w:t>
      </w:r>
    </w:p>
    <w:p>
      <w:r>
        <w:rPr>
          <w:color w:val="555555"/>
          <w:sz w:val="17"/>
        </w:rPr>
        <w:t xml:space="preserve">Zitiervorschlag: § 112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112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