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BbgSchulG (Brandenburg) — Unterrichtsfächer, Unterrichtsform</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den Unterrichtsfächern sind die jedes Fach kennzeichnenden Ziele und Kompetenzen sowie die für das Fach spezifischen Didaktiken und Methoden zu berücksichtigen. Inhalte von Unterrichtsfächern können auch fachübergreifend oder fächerverbindend unterrichtet werden. In Oberstufenzentren können an die Stelle von Unterrichtsfächern Lernfelder treten. Lernfelder sind durch Zielformulierungen beschriebene thematische Einheiten, die sich an konkreten beruflichen Aufgabenstellungen und Handlungsabläufen orientieren.</w:t>
      </w:r>
    </w:p>
    <w:p>
      <w:r>
        <w:t xml:space="preserve">(2) Das Fach Lebensgestaltung-Ethik-Religionskunde soll Schülerinnen und Schüler in besonderem Maße darin unterstützen, ihr Leben selbstbestimmt und verantwortlich zu gestalten, und ihnen helfen, sich in einer demokratischen und pluralistischen Gesellschaft mit ihren vielfältigen Wertvorstellungen und Sinnangeboten zunehmend eigenständig und urteilsfähig zu orientieren. Das Fach dient der Vermittlung von Grundlagen für eine wertorientierte Lebensgestaltung, von Wissen über Traditionen philosophischer Ethik und Grundsätzen ethischer Urteilsbildung sowie über Religionen und Weltanschauungen.</w:t>
      </w:r>
    </w:p>
    <w:p>
      <w:r>
        <w:t xml:space="preserve">(3) Das Fach Lebensgestaltung-Ethik-Religionskunde wird bekenntnisfrei, religiös und weltanschaulich neutral unterrichtet. Die Eltern werden über Ziele, Inhalte und Formen des Unterrichts in Lebensgestaltung-Ethik-Religionskunde rechtzeitig und umfassend informiert. Gegenüber der religiösen oder weltanschaulichen Gebundenheit von Schülerinnen und Schülern ist Offenheit und Toleranz zu wahren. Schülerinnen und Schüler, deren Eltern gegenüber der Schule erklären, dass ihr Kind Religionsunterricht anstelle des Faches Lebensgestaltung-Ethik-Religionskunde erhalten soll, und den Besuch eines solchen Unterrichts nachweisen, sind von der Verpflichtung zur Teilnahme am Unterricht in dem Fach Lebensgestaltung-Ethik-Religionskunde befreit. Bei Schülerinnen und Schülern, die das 14. Lebensjahr vollendet haben, tritt die eigene Erklärung an die Stelle der Erklärung der Eltern.</w:t>
      </w:r>
    </w:p>
    <w:p>
      <w:r>
        <w:t xml:space="preserve">(4) Das für Schule zuständige Mitglied der Landesregierung wird ermächtigt, die Ausgestaltung des Faches Lebensgestaltung-Ethik-Religionskunde durch Rechtsverordnung zu regeln. Bezüglich des Stundenvolumens und der Einführung des Faches in den einzelnen Jahrgangsstufen ist rechtzeitig und nach umfassender Information das Benehmen mit dem für Schule zuständigen Ausschuss des Landtages herzustellen.</w:t>
      </w:r>
    </w:p>
    <w:p>
      <w:r>
        <w:t xml:space="preserve">(5) In der Sekundarstufe II und den gymnasialen Bildungsgängen der beruflichen Schulen kann jahrgangsstufenübergreifender Unterricht mit Genehmigung der Schulkonferenz und des staatlichen Schulamtes erteilt werden.</w:t>
      </w:r>
    </w:p>
    <w:p>
      <w:r>
        <w:t xml:space="preserve">(6) In allen anderen Schulen und Bildungsgängen kann jahrgangsstufen- und fächerübergreifend sowie fächerverbindend Unterricht nach Beschluss der Schulkonferenz erteilt werden.“</w:t>
      </w:r>
    </w:p>
    <w:p>
      <w:r>
        <w:rPr>
          <w:color w:val="555555"/>
          <w:sz w:val="17"/>
        </w:rPr>
        <w:t xml:space="preserve">Zitiervorschlag: § 11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BbgSchulG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