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BbgSchulG (Brandenburg) — Geltungsbereich</w:t>
      </w:r>
    </w:p>
    <w:p>
      <w:r>
        <w:rPr>
          <w:color w:val="555555"/>
          <w:sz w:val="18"/>
        </w:rPr>
        <w:t xml:space="preserve">Brandenburgisches Schulgesetz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Dieses Gesetz gilt für die Schulen in öffentlicher Trägerschaft im Land Brandenburg.</w:t>
      </w:r>
    </w:p>
    <w:p>
      <w:r>
        <w:t xml:space="preserve">(2) Auf Schulen in freier Trägerschaft findet dieses Gesetz nur Anwendung, soweit dies ausdrücklich bestimmt ist.</w:t>
      </w:r>
    </w:p>
    <w:p>
      <w:r>
        <w:t xml:space="preserve">(3) Dieses Gesetz gilt nicht für Ausbildungsstätten des öffentlichen Dienstes und für Heilberufe und Heilhilfsberufe sowie die Einrichtungen der Weiterbildung, soweit nicht gesetzlich etwas anderes bestimmt ist</w:t>
      </w:r>
    </w:p>
    <w:p>
      <w:r>
        <w:rPr>
          <w:color w:val="555555"/>
          <w:sz w:val="17"/>
        </w:rPr>
        <w:t xml:space="preserve">Zitiervorschlag: § 1 BbgSchulG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https://recht.nulegal.eu/gesetze/BbgSchulG/1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