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72 BbgSchGG (Brandenburg) — Inkrafttreten, Außerkrafttreten</w:t>
      </w:r>
    </w:p>
    <w:p>
      <w:r>
        <w:rPr>
          <w:color w:val="555555"/>
          <w:sz w:val="18"/>
        </w:rPr>
        <w:t xml:space="preserve">Brandenburgisches Schiedsstellen- und Gütestellengesetz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Dieses Gesetz tritt am Tag nach der Verkündung in Kraft. Gleichzeitig treten das Brandenburgische Schlichtungsgesetz vom 5. Oktober 2000 (GVBl. I S. 134), das Schiedsstellengesetz in der Fassung der Bekanntmachung vom 21. November 2000 (GVBl. I S. 158, 2001 I S. 38) und das Brandenburgische Gütestellengesetz vom 5. Oktober 2000 (GVBl. I S. 134, 135), die zuletzt durch Artikel 1 bis 3 des Gesetzes vom 8. März 2018 (GVBl. I Nr. 4) geändert worden sind, außer Kraft.</w:t>
      </w:r>
    </w:p>
    <w:p>
      <w:r>
        <w:t xml:space="preserve">Potsdam, den 16. Dezember 2022</w:t>
      </w:r>
    </w:p>
    <w:p>
      <w:r>
        <w:t xml:space="preserve">Die Präsidentin</w:t>
      </w:r>
    </w:p>
    <w:p>
      <w:r>
        <w:t xml:space="preserve">des Landtages Brandenburg</w:t>
      </w:r>
    </w:p>
    <w:p>
      <w:r>
        <w:t xml:space="preserve">Dr. Ulrike Liedtke</w:t>
      </w:r>
    </w:p>
    <w:p>
      <w:r>
        <w:rPr>
          <w:color w:val="555555"/>
          <w:sz w:val="17"/>
        </w:rPr>
        <w:t xml:space="preserve">Zitiervorschlag: § 72 BbgSchGG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https://recht.nulegal.eu/gesetze/BbgSchGG/72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