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62 BbgSchGG (Brandenburg) — Haftpflichtversicherung</w:t>
      </w:r>
    </w:p>
    <w:p>
      <w:r>
        <w:rPr>
          <w:color w:val="555555"/>
          <w:sz w:val="18"/>
        </w:rPr>
        <w:t xml:space="preserve">Brandenburgisches Schiedsstellen- und Gütestellengesetz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Soweit die Gütestelle nicht von einer juristischen Person des öffentlichen Rechts getragen wird, muss eine Haftpflichtversicherung für Vermögensschäden bestehen und die Versicherung während der Dauer der Anerkennung als Gütestelle aufrechterhalten bleiben. Die Versicherung muss bei einem im Inland zum Geschäftsbetrieb befugten Versicherungsunternehmen zu den nach Maßgabe des Versicherungsaufsichtsgesetzes eingereichten Allgemeinen Versicherungsbedingungen aufgenommen werden und sich auch auf solche Vermögensschäden erstrecken, für die die Gütestelle nach § 278 oder § 831 des Bürgerlichen Gesetzbuchs einzustehen hat.</w:t>
      </w:r>
    </w:p>
    <w:p>
      <w:r>
        <w:t xml:space="preserve">(2) Der Versicherungsvertrag hat Versicherungsschutz für jede einzelne Pflichtverletzung zu gewähren, die gesetzliche Haftpflichtansprüche privatrechtlichen Inhalts gegen die Gütestelle zur Folge haben könnte. Dabei kann vereinbart werden, dass sämtliche Pflichtverletzungen bei Erledigung eines einheitlichen Auftrags, mögen diese auf dem Verhalten der Gütestelle oder einer von ihr herangezogenen Hilfsperson beruhen, als ein Versicherungsfall gelten.</w:t>
      </w:r>
    </w:p>
    <w:p>
      <w:r>
        <w:t xml:space="preserve">(3) Die Mindestversicherungssumme beträgt 250 000 Euro für jeden Versicherungsfall. Die Leistungen des Versicherers für alle innerhalb eines Versicherungsjahres verursachten Schäden können auf den vierfachen Betrag der Mindestversicherungssumme begrenzt werden.</w:t>
      </w:r>
    </w:p>
    <w:p>
      <w:r>
        <w:t xml:space="preserve">(4) Die Vereinbarung eines Selbstbehaltes bis zu 1 Prozent der Mindestversicherungssumme ist zulässig.</w:t>
      </w:r>
    </w:p>
    <w:p>
      <w:r>
        <w:t xml:space="preserve">(5) Im Versicherungsvertrag ist der Versicherer zu verpflichten, der nach § 64 Absatz 1 zuständigen Behörde den Beginn und die Kündigung oder sonstige Beendigung des Versicherungsvertrages sowie jede Änderung des Versicherungsvertrages, die den vorgeschriebenen Versicherungsschutz beeinträchtigt, unverzüglich mitzuteilen.</w:t>
      </w:r>
    </w:p>
    <w:p>
      <w:r>
        <w:t xml:space="preserve">(6) Zuständige Stelle im Sinne des § 117 Absatz 2 des Versicherungsvertragsgesetzes ist die nach § 64 Absatz 1 zuständige Behörde.</w:t>
      </w:r>
    </w:p>
    <w:p>
      <w:r>
        <w:rPr>
          <w:color w:val="555555"/>
          <w:sz w:val="17"/>
        </w:rPr>
        <w:t xml:space="preserve">Zitiervorschlag: § 62 BbgSchGG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https://recht.nulegal.eu/gesetze/BbgSchGG/62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62 BbgSchGG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