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59 BbgSchGG (Brandenburg) — Antrag</w:t>
      </w:r>
    </w:p>
    <w:p>
      <w:r>
        <w:rPr>
          <w:color w:val="555555"/>
          <w:sz w:val="18"/>
        </w:rPr>
        <w:t xml:space="preserve">Brandenburgisches Schiedsstellen- und Gütestellengesetz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Auf schriftlichen oder elektronischen Antrag können Personen, rechtsfähige Personenvereinigungen oder deren Einrichtungen als Gütestelle im Sinne des § 794 Absatz 1 Nummer 1 der Zivilprozessordnung anerkannt werden, wenn sie die Voraussetzungen der §§ 60 bis 62 erfüllen. Die zur Prüfung dieser Voraussetzungen erforderlichen Unterlagen und Nachweise sind beizufügen.</w:t>
      </w:r>
    </w:p>
    <w:p>
      <w:r>
        <w:rPr>
          <w:color w:val="555555"/>
          <w:sz w:val="17"/>
        </w:rPr>
        <w:t xml:space="preserve">Zitiervorschlag: § 59 BbgSchGG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https://recht.nulegal.eu/gesetze/BbgSchGG/59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