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BbgSchGG (Brandenburg) — Aufsicht</w:t>
      </w:r>
    </w:p>
    <w:p>
      <w:r>
        <w:rPr>
          <w:color w:val="555555"/>
          <w:sz w:val="18"/>
        </w:rPr>
        <w:t xml:space="preserve">Brandenburgisches Schiedsstellen- und Gütestellengesetz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Tätigkeit der Schiedsperson im Schlichtungsverfahren wird von den Behörden der Justizverwaltung, insbesondere hinsichtlich ihrer fach- und zeitgerechten Durchführung, beaufsichtigt. Die Aufsichtsbehörden treffen die erforderlichen Maßnahmen, um die Schiedsperson zu ordnungsgemäßer Führung ihrer Amtstätigkeit anzuhalten. Sie können Weisungen erteilen. Sie bearbeiten Beschwerden über die Schiedsperson.</w:t>
      </w:r>
    </w:p>
    <w:p>
      <w:r>
        <w:t xml:space="preserve">(2) Die Schiedsperson untersteht unmittelbar der Aufsicht der Leitung des Amtsgerichts, soweit es ihre Tätigkeit im Rechtspflegebereich betrifft.</w:t>
      </w:r>
    </w:p>
    <w:p>
      <w:r>
        <w:rPr>
          <w:color w:val="555555"/>
          <w:sz w:val="17"/>
        </w:rPr>
        <w:t xml:space="preserve">Zitiervorschlag: § 55 BbgSchGG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https://recht.nulegal.eu/gesetze/BbgSchGG/55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