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BbgSchGG (Brandenburg) — Verpflichtung der Schiedsperson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Die Schiedsperson wird von der Leitung des Amtsgerichts in ihr Amt berufen und verpflichtet, ihre Aufgaben gewissenhaft und unparteiisch zu erfüllen.</w:t>
      </w:r>
    </w:p>
    <w:p>
      <w:r>
        <w:rPr>
          <w:color w:val="555555"/>
          <w:sz w:val="17"/>
        </w:rPr>
        <w:t xml:space="preserve">Zitiervorschlag: § 52 BbgSchGG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https://recht.nulegal.eu/gesetze/BbgSchGG/52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