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BbgSchGG (Brandenburg) — Bestätigung der Wahl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gewählte Schiedsperson bedarf der Bestätigung durch die Leitung des Amtsgerichts, in dessen Bezirk die Schiedsstelle ihren Sitz hat.</w:t>
      </w:r>
    </w:p>
    <w:p>
      <w:r>
        <w:t xml:space="preserve">(2) Die Leitung des Amtsgerichts prüft, ob bei der Wahl der Schiedsperson die gesetzlichen Voraussetzungen gemäß § 49 beachtet worden sind.</w:t>
      </w:r>
    </w:p>
    <w:p>
      <w:r>
        <w:t xml:space="preserve">(3) Die Bestätigung oder die Versagung der Bestätigung ist der gewählten Schiedsperson sowie der Bürgermeisterin oder dem Bürgermeister der jeweiligen Gebietskörperschaft schriftlich oder elektronisch mitzuteilen. In den Fällen des § 47 Absatz 3 ergeht die Mitteilung an die Amtsdirektorin oder den Amtsdirektor. Die Entscheidung, durch die die Bestätigung einer Schiedsperson versagt wird, ist zu begründen.</w:t>
      </w:r>
    </w:p>
    <w:p>
      <w:r>
        <w:rPr>
          <w:color w:val="555555"/>
          <w:sz w:val="17"/>
        </w:rPr>
        <w:t xml:space="preserve">Zitiervorschlag: § 51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