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BbgSchGG (Brandenburg) — Eignung für das Schiedsamt</w:t>
      </w:r>
    </w:p>
    <w:p>
      <w:r>
        <w:rPr>
          <w:color w:val="555555"/>
          <w:sz w:val="18"/>
        </w:rPr>
        <w:t xml:space="preserve">Brandenburgisches Schiedsstellen- und Gütestellengesetz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Schiedsperson muss nach ihrer Persönlichkeit und ihren Fähigkeiten für das Amt geeignet sein.</w:t>
      </w:r>
    </w:p>
    <w:p>
      <w:r>
        <w:t xml:space="preserve">(2) Schiedsperson kann nicht sein, wer</w:t>
      </w:r>
    </w:p>
    <w:p>
      <w:r>
        <w:t xml:space="preserve">infolge strafgerichtlicher Verurteilung die Fähigkeit zur Bekleidung öffentlicher Ämter nicht besitzt oder</w:t>
      </w:r>
    </w:p>
    <w:p>
      <w:r>
        <w:t xml:space="preserve">sich im Vermögensverfall befindet; ein Vermögensverfall wird vermutet, wenn ein Insolvenzverfahren über das Vermögen der Schiedsperson eröffnet oder sie in das vom zentralen Vollstreckungsgericht zu führende Schuldnerverzeichnis nach § 882b der Zivilprozessordnung eingetragen ist.</w:t>
      </w:r>
    </w:p>
    <w:p>
      <w:r>
        <w:t xml:space="preserve">(3) In das Amt soll nicht berufen werden,</w:t>
      </w:r>
    </w:p>
    <w:p>
      <w:r>
        <w:t xml:space="preserve">wer nicht das 25. Lebensjahr vollendet hat,</w:t>
      </w:r>
    </w:p>
    <w:p>
      <w:r>
        <w:t xml:space="preserve">wer nicht im Bereich der Schiedsstelle wohnt.</w:t>
      </w:r>
    </w:p>
    <w:p>
      <w:r>
        <w:rPr>
          <w:color w:val="555555"/>
          <w:sz w:val="17"/>
        </w:rPr>
        <w:t xml:space="preserve">Zitiervorschlag: § 49 BbgSchGG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https://recht.nulegal.eu/gesetze/BbgSchGG/49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