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BbgSchGG (Brandenburg) — Einforderung und Beitreibung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Kosten werden aufgrund einer von der Schiedsperson unterschriebenen Kostenrechnung eingefordert, die der kostenpflichtigen Person zu übermitteln ist.</w:t>
      </w:r>
    </w:p>
    <w:p>
      <w:r>
        <w:t xml:space="preserve">(2) Zahlt die kostenpflichtige Person nicht oder nicht vollständig innerhalb der Zahlungsfrist, werden die Kosten auf Antrag der Schiedsperson von der Gebietskörperschaft, die die Schiedsstelle betreibt, oder in den Fällen des § 47 Absatz 3 vom Amt im Verwaltungswege beigetrieben.</w:t>
      </w:r>
    </w:p>
    <w:p>
      <w:r>
        <w:rPr>
          <w:color w:val="555555"/>
          <w:sz w:val="17"/>
        </w:rPr>
        <w:t xml:space="preserve">Zitiervorschlag: § 40 BbgSchGG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https://recht.nulegal.eu/gesetze/BbgSchGG/40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