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BbgSchGG (Brandenburg) — Kostenhaftung</w:t>
      </w:r>
    </w:p>
    <w:p>
      <w:r>
        <w:rPr>
          <w:color w:val="555555"/>
          <w:sz w:val="18"/>
        </w:rPr>
        <w:t xml:space="preserve">Brandenburgisches Schiedsstellen- und Gütestellengesetz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Wer die Tätigkeit der Schiedsstelle veranlasst hat, ist zur Zahlung der Kosten verpflichtet. Beim Täter-Opfer-Ausgleich in Strafsachen ist die beschuldigte Person verpflichtet, die Kosten zu tragen.</w:t>
      </w:r>
    </w:p>
    <w:p>
      <w:r>
        <w:t xml:space="preserve">(2) Die Kosten hat ferner zu tragen:</w:t>
      </w:r>
    </w:p>
    <w:p>
      <w:r>
        <w:t xml:space="preserve">die Gegenpartei, wenn allein wegen ihres unentschuldigten Ausbleibens die Schlichtungsverhandlung nicht durchgeführt werden konnte,</w:t>
      </w:r>
    </w:p>
    <w:p>
      <w:r>
        <w:t xml:space="preserve">wer die Kostenschuld durch eine vor der Schiedsstelle abgegebene oder ihr mitgeteilte Erklärung oder in einem Vergleich übernommen hat,</w:t>
      </w:r>
    </w:p>
    <w:p>
      <w:r>
        <w:t xml:space="preserve">wer für die Kostenschuld eines anderen kraft Gesetzes haftet,</w:t>
      </w:r>
    </w:p>
    <w:p>
      <w:r>
        <w:t xml:space="preserve">hinsichtlich der Dokumentenpauschale diejenige Person, die die Erteilung von Ausfertigungen oder Abschriften beantragt hat.</w:t>
      </w:r>
    </w:p>
    <w:p>
      <w:r>
        <w:t xml:space="preserve">(3) Haben die Parteien einen Vergleich geschlossen, ohne darin eine Vereinbarung über die Kostentragung zu treffen, trägt jede Partei die Kosten des Schlichtungsverfahrens zur Hälfte.</w:t>
      </w:r>
    </w:p>
    <w:p>
      <w:r>
        <w:t xml:space="preserve">(4) Sind mehrere Personen verpflichtet, die Kosten zu tragen, haften sie als Gesamtschuldner. Die Haftung nach Absatz 2 Nummer 1, 2 und 4 und Absatz 3 geht der Haftung nach Absatz 1 vor. Die Haftung nach Absatz 1 für die nicht durch Vorschuss gedeckten Kosten soll in diesen Fällen erst geltend gemacht werden, wenn das Beitreibungsverfahren nach § 40 Absatz 2 gegen die vorrangig haftende Person erfolglos geblieben ist oder aussichtslos erscheint.</w:t>
      </w:r>
    </w:p>
    <w:p>
      <w:r>
        <w:rPr>
          <w:color w:val="555555"/>
          <w:sz w:val="17"/>
        </w:rPr>
        <w:t xml:space="preserve">Zitiervorschlag: § 38 BbgSchGG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https://recht.nulegal.eu/gesetze/BbgSchGG/38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