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BbgSchGG (Brandenburg) — Absehen vom Sühneversuch</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im Falle der Erhebung der Privatklage zuständige Gericht kann auf Antrag gestatten, dass von dem Sühneversuch abgesehen wird, wenn die antragstellende Partei von der Gemeinde, in der die Verhandlung stattfinden müsste, so weit entfernt wohnt, dass ihr unter Berücksichtigung ihrer Verhältnisse und nach den Umständen des Falles nicht zugemutet werden kann, zu der Verhandlung zu erscheinen. Das Gericht kann stattdessen die antragstellende Partei ermächtigen, sich in der Sühneverhandlung vertreten zu lassen. Die Vertretung legt der Schiedsstelle den gerichtlichen Beschluss sowie eine schriftliche Vollmacht vor.</w:t>
      </w:r>
    </w:p>
    <w:p>
      <w:r>
        <w:t xml:space="preserve">(2) Die Parteien können die Entscheidung des Gerichts mit der sofortigen Beschwerde nach den Vorschriften der Strafprozessordnung anfechten.</w:t>
      </w:r>
    </w:p>
    <w:p>
      <w:r>
        <w:rPr>
          <w:color w:val="555555"/>
          <w:sz w:val="17"/>
        </w:rPr>
        <w:t xml:space="preserve">Zitiervorschlag: § 32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