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BbgSchGG (Brandenburg) — Verfahrensbestimmungen</w:t>
      </w:r>
    </w:p>
    <w:p>
      <w:r>
        <w:rPr>
          <w:color w:val="555555"/>
          <w:sz w:val="18"/>
        </w:rPr>
        <w:t xml:space="preserve">Brandenburgisches Schiedsstellen- und Gütestellengesetz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Sühneversuch wird im Rahmen eines Schlichtungsverfahrens durchgeführt. Für das Sühneverfahren gelten die §§ 8 bis 27 entsprechend, soweit in diesem Abschnitt keine abweichenden Bestimmungen getroffen worden sind.</w:t>
      </w:r>
    </w:p>
    <w:p>
      <w:r>
        <w:rPr>
          <w:color w:val="555555"/>
          <w:sz w:val="17"/>
        </w:rPr>
        <w:t xml:space="preserve">Zitiervorschlag: § 31 BbgSchGG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https://recht.nulegal.eu/gesetze/BbgSchGG/31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