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BbgSchGG (Brandenburg) — Zuständigkeit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Schiedsstelle ist Vergleichsbehörde im Sinne des § 380 Absatz 1 der Strafprozessordnung zur Durchführung des Sühneverfahrens (§ 2 Absatz 6).</w:t>
      </w:r>
    </w:p>
    <w:p>
      <w:r>
        <w:t xml:space="preserve">(2) Die Schiedsstelle kann einen Täter-Opfer-Ausgleich (§ 2 Absatz 7) durchführen.</w:t>
      </w:r>
    </w:p>
    <w:p>
      <w:r>
        <w:rPr>
          <w:color w:val="555555"/>
          <w:sz w:val="17"/>
        </w:rPr>
        <w:t xml:space="preserve">Zitiervorschlag: § 30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