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29 BbgSchGG (Brandenburg) — Zweck des Verfahrens</w:t>
      </w:r>
    </w:p>
    <w:p>
      <w:r>
        <w:rPr>
          <w:color w:val="555555"/>
          <w:sz w:val="18"/>
        </w:rPr>
        <w:t xml:space="preserve">Brandenburgisches Schiedsstellen- und Gütestellengesetz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Das Güteverfahren ist darauf gerichtet, den Rechtsstreit im Wege eines Vergleichs beizulegen.</w:t>
      </w:r>
    </w:p>
    <w:p>
      <w:r>
        <w:rPr>
          <w:color w:val="555555"/>
          <w:sz w:val="17"/>
        </w:rPr>
        <w:t xml:space="preserve">Zitiervorschlag: § 29 BbgSchGG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Dieses Dokument: https://recht.nulegal.eu/gesetze/BbgSchGG/29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