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BbgSchGG (Brandenburg) — Zuständigkeit und Verfahren</w:t>
      </w:r>
    </w:p>
    <w:p>
      <w:r>
        <w:rPr>
          <w:color w:val="555555"/>
          <w:sz w:val="18"/>
        </w:rPr>
        <w:t xml:space="preserve">Brandenburgisches Schiedsstellen- und Gütestellengesetz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Anerkannte Gütestellen führen Schlichtungsverfahren und sonstige Verfahren der außergerichtlichen Streitbeilegung (Güteverfahren) in bürgerlichen Rechtsstreitigkeiten durch. Gegenstand des Güteverfahrens können Streitigkeiten der obligatorischen außergerichtlichen Streitbeilegung nach den §§ 4 und 5 und der freiwilligen außergerichtlichen Streitbeilegung sein.</w:t>
      </w:r>
    </w:p>
    <w:p>
      <w:r>
        <w:t xml:space="preserve">(2) Die Verfahrensordnung (§ 61) der jeweiligen anerkannten Gütestelle bestimmt das Güteverfahren und regelt die Einzelheiten seiner Durchführung.</w:t>
      </w:r>
    </w:p>
    <w:p>
      <w:r>
        <w:rPr>
          <w:color w:val="555555"/>
          <w:sz w:val="17"/>
        </w:rPr>
        <w:t xml:space="preserve">Zitiervorschlag: § 28 BbgSchGG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https://recht.nulegal.eu/gesetze/BbgSchGG/28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