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BbgSchGG (Brandenburg) — Genehmigung und Unterzeichnung des Protokolls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Protokoll ist den Parteien vorzulesen oder zur Durchsicht vorzulegen und von ihnen zu genehmigen. Dies ist im Protokoll zu vermerken.</w:t>
      </w:r>
    </w:p>
    <w:p>
      <w:r>
        <w:t xml:space="preserve">(2) Das Protokoll ist von der Schiedsperson und im Falle eines Vergleichs auch von den Parteien eigenhändig zu unterschreiben. Nach Vollzug der Unterschriften wird ein Vergleich wirksam.</w:t>
      </w:r>
    </w:p>
    <w:p>
      <w:r>
        <w:t xml:space="preserve">(3) Erklärt eine Partei, dass sie nicht schreiben kann, so muss die Schiedsperson das Handzeichen der schreibunkundigen Person durch einen besonderen Vermerk beglaubigen.</w:t>
      </w:r>
    </w:p>
    <w:p>
      <w:r>
        <w:rPr>
          <w:color w:val="555555"/>
          <w:sz w:val="17"/>
        </w:rPr>
        <w:t xml:space="preserve">Zitiervorschlag: § 25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