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BbgSchGG (Brandenburg) — Tätigkeit außerhalb des Schiedsstellenbereichs</w:t>
      </w:r>
    </w:p>
    <w:p>
      <w:r>
        <w:rPr>
          <w:color w:val="555555"/>
          <w:sz w:val="18"/>
        </w:rPr>
        <w:t xml:space="preserve">Brandenburgisches Schiedsstellen- und Gütestellengesetz</w:t>
      </w:r>
    </w:p>
    <w:p>
      <w:r>
        <w:rPr>
          <w:color w:val="555555"/>
          <w:sz w:val="18"/>
        </w:rPr>
        <w:t xml:space="preserve">Landesrecht Brandenburg</w:t>
      </w:r>
    </w:p>
    <w:p>
      <w:r>
        <w:rPr>
          <w:color w:val="555555"/>
          <w:sz w:val="18"/>
        </w:rPr>
        <w:t xml:space="preserve">Stand: 30.07.2026 (konsolidierte Textfassung, kein amtliches Inkrafttretensdatum)</w:t>
      </w:r>
    </w:p>
    <w:p>
      <w:r>
        <w:t xml:space="preserve">Zu einer amtlichen Tätigkeit außerhalb des Bereichs der Schiedsstelle ist die Schiedsperson nur im Falle der Stellvertretung sowie dann befugt, wenn die Amtsräume außerhalb des Bereichs der Schiedsstelle liegen oder der Augenschein eingenommen werden soll.</w:t>
      </w:r>
    </w:p>
    <w:p>
      <w:r>
        <w:rPr>
          <w:color w:val="555555"/>
          <w:sz w:val="17"/>
        </w:rPr>
        <w:t xml:space="preserve">Zitiervorschlag: § 23 BbgSchGG (Brandenburg)</w:t>
      </w:r>
    </w:p>
    <w:p>
      <w:r>
        <w:rPr>
          <w:color w:val="555555"/>
          <w:sz w:val="17"/>
        </w:rPr>
        <w:t xml:space="preserve">Quelle: bravors, abgerufen 29.07.2026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https://recht.nulegal.eu/gesetze/BbgSchGG/23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